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BC" w:rsidRPr="00B2647C" w:rsidRDefault="009503BC" w:rsidP="009503BC">
      <w:pPr>
        <w:pStyle w:val="PlainText"/>
        <w:jc w:val="center"/>
        <w:rPr>
          <w:rFonts w:ascii="Times New Roman" w:hAnsi="Times New Roman" w:cs="Times New Roman"/>
          <w:b/>
          <w:sz w:val="24"/>
          <w:szCs w:val="24"/>
        </w:rPr>
      </w:pPr>
      <w:bookmarkStart w:id="0" w:name="_GoBack"/>
      <w:bookmarkEnd w:id="0"/>
      <w:r w:rsidRPr="00B2647C">
        <w:rPr>
          <w:rFonts w:ascii="Times New Roman" w:hAnsi="Times New Roman" w:cs="Times New Roman"/>
          <w:b/>
          <w:sz w:val="24"/>
          <w:szCs w:val="24"/>
        </w:rPr>
        <w:t>Department of Defense Scorecard on Sustainability/Energy</w:t>
      </w:r>
    </w:p>
    <w:p w:rsidR="009503BC" w:rsidRDefault="009503BC" w:rsidP="009503BC">
      <w:pPr>
        <w:pStyle w:val="PlainText"/>
        <w:rPr>
          <w:rFonts w:ascii="Times New Roman" w:hAnsi="Times New Roman" w:cs="Times New Roman"/>
          <w:sz w:val="24"/>
          <w:szCs w:val="24"/>
        </w:rPr>
      </w:pPr>
    </w:p>
    <w:p w:rsidR="009503BC" w:rsidRPr="00D7014C" w:rsidRDefault="009503BC" w:rsidP="009503BC">
      <w:pPr>
        <w:pStyle w:val="PlainText"/>
        <w:rPr>
          <w:rFonts w:ascii="Times New Roman" w:hAnsi="Times New Roman" w:cs="Times New Roman"/>
          <w:sz w:val="24"/>
          <w:szCs w:val="24"/>
        </w:rPr>
      </w:pPr>
      <w:r w:rsidRPr="00D7014C">
        <w:rPr>
          <w:rFonts w:ascii="Times New Roman" w:hAnsi="Times New Roman" w:cs="Times New Roman"/>
          <w:sz w:val="24"/>
          <w:szCs w:val="24"/>
        </w:rPr>
        <w:t>On Oct 5, 2009</w:t>
      </w:r>
      <w:r w:rsidR="002E7AD5" w:rsidRPr="00D7014C">
        <w:rPr>
          <w:rFonts w:ascii="Times New Roman" w:hAnsi="Times New Roman" w:cs="Times New Roman"/>
          <w:sz w:val="24"/>
          <w:szCs w:val="24"/>
        </w:rPr>
        <w:t>,</w:t>
      </w:r>
      <w:r w:rsidRPr="00D7014C">
        <w:rPr>
          <w:rFonts w:ascii="Times New Roman" w:hAnsi="Times New Roman" w:cs="Times New Roman"/>
          <w:sz w:val="24"/>
          <w:szCs w:val="24"/>
        </w:rPr>
        <w:t xml:space="preserve"> Executive Order 13514, Federal Leadership in Environmental, Energy, and Economic Performance</w:t>
      </w:r>
      <w:r w:rsidR="002E7AD5" w:rsidRPr="00D7014C">
        <w:rPr>
          <w:rFonts w:ascii="Times New Roman" w:hAnsi="Times New Roman" w:cs="Times New Roman"/>
          <w:sz w:val="24"/>
          <w:szCs w:val="24"/>
        </w:rPr>
        <w:t>,</w:t>
      </w:r>
      <w:r w:rsidRPr="00D7014C">
        <w:rPr>
          <w:rFonts w:ascii="Times New Roman" w:hAnsi="Times New Roman" w:cs="Times New Roman"/>
          <w:sz w:val="24"/>
          <w:szCs w:val="24"/>
        </w:rPr>
        <w:t xml:space="preserve"> directed </w:t>
      </w:r>
      <w:r w:rsidR="003A4C81" w:rsidRPr="00D7014C">
        <w:rPr>
          <w:rFonts w:ascii="Times New Roman" w:hAnsi="Times New Roman" w:cs="Times New Roman"/>
          <w:sz w:val="24"/>
          <w:szCs w:val="24"/>
        </w:rPr>
        <w:t xml:space="preserve">the </w:t>
      </w:r>
      <w:r w:rsidRPr="00D7014C">
        <w:rPr>
          <w:rFonts w:ascii="Times New Roman" w:hAnsi="Times New Roman" w:cs="Times New Roman"/>
          <w:sz w:val="24"/>
          <w:szCs w:val="24"/>
        </w:rPr>
        <w:t xml:space="preserve">Office of Management and Budget </w:t>
      </w:r>
      <w:r w:rsidR="006C03D6" w:rsidRPr="00D7014C">
        <w:rPr>
          <w:rFonts w:ascii="Times New Roman" w:hAnsi="Times New Roman" w:cs="Times New Roman"/>
          <w:sz w:val="24"/>
          <w:szCs w:val="24"/>
        </w:rPr>
        <w:t xml:space="preserve">(OMB) </w:t>
      </w:r>
      <w:r w:rsidRPr="00D7014C">
        <w:rPr>
          <w:rFonts w:ascii="Times New Roman" w:hAnsi="Times New Roman" w:cs="Times New Roman"/>
          <w:sz w:val="24"/>
          <w:szCs w:val="24"/>
        </w:rPr>
        <w:t xml:space="preserve">to prepare scorecards providing periodic evaluations of Federal agency performance in identifying and tracking opportunities to reduce pollution, improve efficiency, and cut costs. </w:t>
      </w:r>
      <w:r w:rsidR="003A4C81" w:rsidRPr="00D7014C">
        <w:rPr>
          <w:rFonts w:ascii="Times New Roman" w:hAnsi="Times New Roman" w:cs="Times New Roman"/>
          <w:sz w:val="24"/>
          <w:szCs w:val="24"/>
        </w:rPr>
        <w:t xml:space="preserve"> </w:t>
      </w:r>
      <w:r w:rsidRPr="00D7014C">
        <w:rPr>
          <w:rFonts w:ascii="Times New Roman" w:hAnsi="Times New Roman" w:cs="Times New Roman"/>
          <w:sz w:val="24"/>
          <w:szCs w:val="24"/>
        </w:rPr>
        <w:t xml:space="preserve">The </w:t>
      </w:r>
      <w:r w:rsidR="00FC7249" w:rsidRPr="00D7014C">
        <w:rPr>
          <w:rFonts w:ascii="Times New Roman" w:hAnsi="Times New Roman" w:cs="Times New Roman"/>
          <w:sz w:val="24"/>
          <w:szCs w:val="24"/>
        </w:rPr>
        <w:t>January 201</w:t>
      </w:r>
      <w:r w:rsidR="00096519">
        <w:rPr>
          <w:rFonts w:ascii="Times New Roman" w:hAnsi="Times New Roman" w:cs="Times New Roman"/>
          <w:sz w:val="24"/>
          <w:szCs w:val="24"/>
        </w:rPr>
        <w:t>3</w:t>
      </w:r>
      <w:r w:rsidR="00FC7249" w:rsidRPr="00D7014C">
        <w:rPr>
          <w:rFonts w:ascii="Times New Roman" w:hAnsi="Times New Roman" w:cs="Times New Roman"/>
          <w:sz w:val="24"/>
          <w:szCs w:val="24"/>
        </w:rPr>
        <w:t xml:space="preserve"> </w:t>
      </w:r>
      <w:r w:rsidR="003A4C81" w:rsidRPr="00D7014C">
        <w:rPr>
          <w:rFonts w:ascii="Times New Roman" w:hAnsi="Times New Roman" w:cs="Times New Roman"/>
          <w:sz w:val="24"/>
          <w:szCs w:val="24"/>
        </w:rPr>
        <w:t xml:space="preserve">scorecard for the </w:t>
      </w:r>
      <w:r w:rsidRPr="00D7014C">
        <w:rPr>
          <w:rFonts w:ascii="Times New Roman" w:hAnsi="Times New Roman" w:cs="Times New Roman"/>
          <w:sz w:val="24"/>
          <w:szCs w:val="24"/>
        </w:rPr>
        <w:t>Department of Defense scorecard can be found at</w:t>
      </w:r>
      <w:r w:rsidR="004E6A92" w:rsidRPr="00D7014C">
        <w:rPr>
          <w:rFonts w:ascii="Times New Roman" w:hAnsi="Times New Roman" w:cs="Times New Roman"/>
          <w:sz w:val="24"/>
          <w:szCs w:val="24"/>
        </w:rPr>
        <w:t xml:space="preserve"> </w:t>
      </w:r>
      <w:hyperlink r:id="rId6" w:history="1">
        <w:r w:rsidR="004E6A92" w:rsidRPr="00D7014C">
          <w:rPr>
            <w:rStyle w:val="Hyperlink"/>
            <w:rFonts w:ascii="Times New Roman" w:hAnsi="Times New Roman" w:cs="Times New Roman"/>
            <w:sz w:val="24"/>
            <w:szCs w:val="24"/>
          </w:rPr>
          <w:t>http://www.denix.osd.mil/</w:t>
        </w:r>
      </w:hyperlink>
      <w:r w:rsidR="009470EB">
        <w:rPr>
          <w:rStyle w:val="Hyperlink"/>
          <w:rFonts w:ascii="Times New Roman" w:hAnsi="Times New Roman" w:cs="Times New Roman"/>
          <w:sz w:val="24"/>
          <w:szCs w:val="24"/>
        </w:rPr>
        <w:t>sustainability/</w:t>
      </w:r>
      <w:r w:rsidR="004E6A92" w:rsidRPr="00D7014C">
        <w:rPr>
          <w:rFonts w:ascii="Times New Roman" w:hAnsi="Times New Roman" w:cs="Times New Roman"/>
          <w:sz w:val="24"/>
          <w:szCs w:val="24"/>
        </w:rPr>
        <w:t>.</w:t>
      </w:r>
    </w:p>
    <w:p w:rsidR="004E6A92" w:rsidRPr="00D7014C" w:rsidRDefault="004E6A92" w:rsidP="009503BC">
      <w:pPr>
        <w:pStyle w:val="PlainText"/>
        <w:rPr>
          <w:rFonts w:ascii="Times New Roman" w:hAnsi="Times New Roman" w:cs="Times New Roman"/>
          <w:sz w:val="24"/>
          <w:szCs w:val="24"/>
        </w:rPr>
      </w:pPr>
    </w:p>
    <w:p w:rsidR="00FC7249" w:rsidRPr="00D7014C" w:rsidRDefault="00FC7249" w:rsidP="00813A65">
      <w:pPr>
        <w:rPr>
          <w:rFonts w:ascii="Times New Roman" w:hAnsi="Times New Roman"/>
          <w:sz w:val="24"/>
          <w:szCs w:val="24"/>
        </w:rPr>
      </w:pPr>
      <w:proofErr w:type="spellStart"/>
      <w:proofErr w:type="gramStart"/>
      <w:r w:rsidRPr="00813A65">
        <w:rPr>
          <w:rFonts w:ascii="Times New Roman" w:hAnsi="Times New Roman"/>
          <w:sz w:val="24"/>
          <w:szCs w:val="24"/>
        </w:rPr>
        <w:t>DoD’s</w:t>
      </w:r>
      <w:proofErr w:type="spellEnd"/>
      <w:proofErr w:type="gramEnd"/>
      <w:r w:rsidRPr="00813A65">
        <w:rPr>
          <w:rFonts w:ascii="Times New Roman" w:hAnsi="Times New Roman"/>
          <w:sz w:val="24"/>
          <w:szCs w:val="24"/>
        </w:rPr>
        <w:t xml:space="preserve"> Sustainability Plan and programs will enhance our mission capability, lower life cycle costs, and advance technologies and practices that further the sustainability goals of the nation.   </w:t>
      </w:r>
      <w:proofErr w:type="gramStart"/>
      <w:r w:rsidRPr="00813A65">
        <w:rPr>
          <w:rFonts w:ascii="Times New Roman" w:hAnsi="Times New Roman"/>
          <w:sz w:val="24"/>
          <w:szCs w:val="24"/>
        </w:rPr>
        <w:t>DoD</w:t>
      </w:r>
      <w:proofErr w:type="gramEnd"/>
      <w:r w:rsidRPr="00813A65">
        <w:rPr>
          <w:rFonts w:ascii="Times New Roman" w:hAnsi="Times New Roman"/>
          <w:sz w:val="24"/>
          <w:szCs w:val="24"/>
        </w:rPr>
        <w:t xml:space="preserve"> feels confident that our future scores will improve as programs, policies and technologies that have recently been put in place or soon will be in place come to fruition.</w:t>
      </w:r>
      <w:r w:rsidR="00813A65" w:rsidRPr="00813A65">
        <w:t xml:space="preserve"> </w:t>
      </w:r>
      <w:r w:rsidR="00813A65" w:rsidRPr="00813A65">
        <w:rPr>
          <w:rFonts w:ascii="Times New Roman" w:hAnsi="Times New Roman"/>
          <w:sz w:val="24"/>
          <w:szCs w:val="24"/>
        </w:rPr>
        <w:t xml:space="preserve">The Department’s sustainability plan is posted at </w:t>
      </w:r>
      <w:hyperlink r:id="rId7" w:history="1">
        <w:r w:rsidR="00813A65" w:rsidRPr="00981B7A">
          <w:rPr>
            <w:rStyle w:val="Hyperlink"/>
            <w:rFonts w:ascii="Times New Roman" w:hAnsi="Times New Roman"/>
            <w:sz w:val="24"/>
            <w:szCs w:val="24"/>
          </w:rPr>
          <w:t>http://www.denix.osd.mil/sustainability/</w:t>
        </w:r>
      </w:hyperlink>
      <w:r w:rsidR="00813A65" w:rsidRPr="00813A65">
        <w:rPr>
          <w:rFonts w:ascii="Times New Roman" w:hAnsi="Times New Roman"/>
          <w:sz w:val="24"/>
          <w:szCs w:val="24"/>
        </w:rPr>
        <w:t>.  The Department plans to submit an updated plan in July.</w:t>
      </w:r>
    </w:p>
    <w:p w:rsidR="00FC7249" w:rsidRPr="00D7014C" w:rsidRDefault="00FC7249" w:rsidP="00FC7249">
      <w:pPr>
        <w:pStyle w:val="ListParagraph"/>
        <w:ind w:left="0"/>
        <w:rPr>
          <w:rFonts w:ascii="Times New Roman" w:hAnsi="Times New Roman"/>
          <w:sz w:val="24"/>
          <w:szCs w:val="24"/>
        </w:rPr>
      </w:pPr>
    </w:p>
    <w:p w:rsidR="00FC7249" w:rsidRPr="00D7014C" w:rsidRDefault="00FC7249" w:rsidP="00FC7249">
      <w:pPr>
        <w:pStyle w:val="ListParagraph"/>
        <w:ind w:left="0"/>
        <w:rPr>
          <w:rFonts w:ascii="Times New Roman" w:hAnsi="Times New Roman"/>
          <w:sz w:val="24"/>
          <w:szCs w:val="24"/>
        </w:rPr>
      </w:pPr>
      <w:r w:rsidRPr="00D7014C">
        <w:rPr>
          <w:rFonts w:ascii="Times New Roman" w:hAnsi="Times New Roman"/>
          <w:sz w:val="24"/>
          <w:szCs w:val="24"/>
        </w:rPr>
        <w:t xml:space="preserve">The Department is making investments in R&amp;D and technologies that will improve sustainability performance.   The Environmental Security Technology Certification Program will execute </w:t>
      </w:r>
      <w:r w:rsidR="00096519">
        <w:rPr>
          <w:rFonts w:ascii="Times New Roman" w:hAnsi="Times New Roman"/>
          <w:sz w:val="24"/>
          <w:szCs w:val="24"/>
        </w:rPr>
        <w:t xml:space="preserve">over </w:t>
      </w:r>
      <w:r w:rsidRPr="00D7014C">
        <w:rPr>
          <w:rFonts w:ascii="Times New Roman" w:hAnsi="Times New Roman"/>
          <w:sz w:val="24"/>
          <w:szCs w:val="24"/>
        </w:rPr>
        <w:t>$30M of demonstration projects in FY 201</w:t>
      </w:r>
      <w:r w:rsidR="00096519">
        <w:rPr>
          <w:rFonts w:ascii="Times New Roman" w:hAnsi="Times New Roman"/>
          <w:sz w:val="24"/>
          <w:szCs w:val="24"/>
        </w:rPr>
        <w:t>3</w:t>
      </w:r>
      <w:r w:rsidRPr="00D7014C">
        <w:rPr>
          <w:rFonts w:ascii="Times New Roman" w:hAnsi="Times New Roman"/>
          <w:sz w:val="24"/>
          <w:szCs w:val="24"/>
        </w:rPr>
        <w:t xml:space="preserve"> that will support reduction in energy intensity, the use of renewable energy and address energy grid vulnerabilities</w:t>
      </w:r>
      <w:r w:rsidR="00096519">
        <w:rPr>
          <w:rFonts w:ascii="Times New Roman" w:hAnsi="Times New Roman"/>
          <w:sz w:val="24"/>
          <w:szCs w:val="24"/>
        </w:rPr>
        <w:t xml:space="preserve">, and has a very significant program to address other </w:t>
      </w:r>
      <w:proofErr w:type="gramStart"/>
      <w:r w:rsidR="00096519">
        <w:rPr>
          <w:rFonts w:ascii="Times New Roman" w:hAnsi="Times New Roman"/>
          <w:sz w:val="24"/>
          <w:szCs w:val="24"/>
        </w:rPr>
        <w:t>DoD</w:t>
      </w:r>
      <w:proofErr w:type="gramEnd"/>
      <w:r w:rsidR="00096519">
        <w:rPr>
          <w:rFonts w:ascii="Times New Roman" w:hAnsi="Times New Roman"/>
          <w:sz w:val="24"/>
          <w:szCs w:val="24"/>
        </w:rPr>
        <w:t xml:space="preserve"> requirements including alternatives to toxic and hazardous materials and global warming chemicals.</w:t>
      </w:r>
      <w:r w:rsidRPr="00D7014C">
        <w:rPr>
          <w:rFonts w:ascii="Times New Roman" w:hAnsi="Times New Roman"/>
          <w:sz w:val="24"/>
          <w:szCs w:val="24"/>
        </w:rPr>
        <w:t xml:space="preserve">  These </w:t>
      </w:r>
      <w:r w:rsidR="001D6B56">
        <w:rPr>
          <w:rFonts w:ascii="Times New Roman" w:hAnsi="Times New Roman"/>
          <w:sz w:val="24"/>
          <w:szCs w:val="24"/>
        </w:rPr>
        <w:t>technology</w:t>
      </w:r>
      <w:r w:rsidRPr="00D7014C">
        <w:rPr>
          <w:rFonts w:ascii="Times New Roman" w:hAnsi="Times New Roman"/>
          <w:sz w:val="24"/>
          <w:szCs w:val="24"/>
        </w:rPr>
        <w:t xml:space="preserve"> investments will help the </w:t>
      </w:r>
      <w:r w:rsidR="002170C3">
        <w:rPr>
          <w:rFonts w:ascii="Times New Roman" w:hAnsi="Times New Roman"/>
          <w:sz w:val="24"/>
          <w:szCs w:val="24"/>
        </w:rPr>
        <w:t>D</w:t>
      </w:r>
      <w:r w:rsidRPr="00D7014C">
        <w:rPr>
          <w:rFonts w:ascii="Times New Roman" w:hAnsi="Times New Roman"/>
          <w:sz w:val="24"/>
          <w:szCs w:val="24"/>
        </w:rPr>
        <w:t>epartment meet our sustainability goals in future years.</w:t>
      </w:r>
    </w:p>
    <w:p w:rsidR="00FC7249" w:rsidRPr="00D7014C" w:rsidRDefault="00FC7249" w:rsidP="00FC7249">
      <w:pPr>
        <w:rPr>
          <w:rFonts w:ascii="Times New Roman" w:hAnsi="Times New Roman" w:cs="Times New Roman"/>
          <w:sz w:val="24"/>
          <w:szCs w:val="24"/>
        </w:rPr>
      </w:pPr>
      <w:r w:rsidRPr="00D7014C">
        <w:rPr>
          <w:rFonts w:ascii="Times New Roman" w:hAnsi="Times New Roman" w:cs="Times New Roman"/>
          <w:sz w:val="24"/>
          <w:szCs w:val="24"/>
        </w:rPr>
        <w:t>The Department has a commitment to execute nearly $1.2 billion in third-party financed performance-based contracts (Energy Savings Performance Contracts and Utility Energy Service Contracts) in response to Presi</w:t>
      </w:r>
      <w:r w:rsidR="00096519">
        <w:rPr>
          <w:rFonts w:ascii="Times New Roman" w:hAnsi="Times New Roman" w:cs="Times New Roman"/>
          <w:sz w:val="24"/>
          <w:szCs w:val="24"/>
        </w:rPr>
        <w:t xml:space="preserve">dent’s Dec. 2, 2011 commitment </w:t>
      </w:r>
      <w:r w:rsidRPr="00D7014C">
        <w:rPr>
          <w:rFonts w:ascii="Times New Roman" w:hAnsi="Times New Roman" w:cs="Times New Roman"/>
          <w:sz w:val="24"/>
          <w:szCs w:val="24"/>
        </w:rPr>
        <w:t>$2 billion i</w:t>
      </w:r>
      <w:r w:rsidR="00096519">
        <w:rPr>
          <w:rFonts w:ascii="Times New Roman" w:hAnsi="Times New Roman" w:cs="Times New Roman"/>
          <w:sz w:val="24"/>
          <w:szCs w:val="24"/>
        </w:rPr>
        <w:t>n such contracts by end of 2013</w:t>
      </w:r>
      <w:r w:rsidRPr="00D7014C">
        <w:rPr>
          <w:rFonts w:ascii="Times New Roman" w:hAnsi="Times New Roman" w:cs="Times New Roman"/>
          <w:sz w:val="24"/>
          <w:szCs w:val="24"/>
        </w:rPr>
        <w:t xml:space="preserve">.  </w:t>
      </w:r>
      <w:proofErr w:type="gramStart"/>
      <w:r w:rsidRPr="00D7014C">
        <w:rPr>
          <w:rFonts w:ascii="Times New Roman" w:hAnsi="Times New Roman" w:cs="Times New Roman"/>
          <w:sz w:val="24"/>
          <w:szCs w:val="24"/>
        </w:rPr>
        <w:t>DoD</w:t>
      </w:r>
      <w:proofErr w:type="gramEnd"/>
      <w:r w:rsidRPr="00D7014C">
        <w:rPr>
          <w:rFonts w:ascii="Times New Roman" w:hAnsi="Times New Roman" w:cs="Times New Roman"/>
          <w:sz w:val="24"/>
          <w:szCs w:val="24"/>
        </w:rPr>
        <w:t xml:space="preserve"> plans to award </w:t>
      </w:r>
      <w:r w:rsidR="00070C04">
        <w:rPr>
          <w:rFonts w:ascii="Times New Roman" w:hAnsi="Times New Roman" w:cs="Times New Roman"/>
          <w:sz w:val="24"/>
          <w:szCs w:val="24"/>
        </w:rPr>
        <w:t>over</w:t>
      </w:r>
      <w:r w:rsidRPr="00D7014C">
        <w:rPr>
          <w:rFonts w:ascii="Times New Roman" w:hAnsi="Times New Roman" w:cs="Times New Roman"/>
          <w:sz w:val="24"/>
          <w:szCs w:val="24"/>
        </w:rPr>
        <w:t xml:space="preserve"> $700M in FY13.  While our spending is expected to make continued improvement in energy efficiency, our energy intensity may be somewhat offset by increased consumption as deployed troops return to U.S. bases from Iraq and Afghanistan. </w:t>
      </w:r>
    </w:p>
    <w:p w:rsidR="00FC7249" w:rsidRPr="00D7014C" w:rsidRDefault="00FC7249" w:rsidP="00FC7249">
      <w:pPr>
        <w:rPr>
          <w:rFonts w:ascii="Times New Roman" w:hAnsi="Times New Roman" w:cs="Times New Roman"/>
          <w:sz w:val="24"/>
          <w:szCs w:val="24"/>
        </w:rPr>
      </w:pPr>
    </w:p>
    <w:p w:rsidR="00A35749" w:rsidRPr="00D7014C" w:rsidRDefault="00A35749" w:rsidP="00A35749">
      <w:pPr>
        <w:pStyle w:val="PlainText"/>
        <w:rPr>
          <w:rFonts w:ascii="Times New Roman" w:hAnsi="Times New Roman" w:cs="Times New Roman"/>
          <w:sz w:val="24"/>
          <w:szCs w:val="24"/>
        </w:rPr>
      </w:pPr>
      <w:r w:rsidRPr="00D7014C">
        <w:rPr>
          <w:rFonts w:ascii="Times New Roman" w:hAnsi="Times New Roman" w:cs="Times New Roman"/>
          <w:sz w:val="24"/>
          <w:szCs w:val="24"/>
        </w:rPr>
        <w:t xml:space="preserve">The scorecard measured federal agencies in seven categories.  </w:t>
      </w:r>
      <w:proofErr w:type="gramStart"/>
      <w:r w:rsidRPr="00D7014C">
        <w:rPr>
          <w:rFonts w:ascii="Times New Roman" w:hAnsi="Times New Roman" w:cs="Times New Roman"/>
          <w:sz w:val="24"/>
          <w:szCs w:val="24"/>
        </w:rPr>
        <w:t>DoD</w:t>
      </w:r>
      <w:proofErr w:type="gramEnd"/>
      <w:r w:rsidRPr="00D7014C">
        <w:rPr>
          <w:rFonts w:ascii="Times New Roman" w:hAnsi="Times New Roman" w:cs="Times New Roman"/>
          <w:sz w:val="24"/>
          <w:szCs w:val="24"/>
        </w:rPr>
        <w:t xml:space="preserve"> was green in </w:t>
      </w:r>
      <w:r w:rsidR="00096D2B">
        <w:rPr>
          <w:rFonts w:ascii="Times New Roman" w:hAnsi="Times New Roman" w:cs="Times New Roman"/>
          <w:sz w:val="24"/>
          <w:szCs w:val="24"/>
        </w:rPr>
        <w:t>four</w:t>
      </w:r>
      <w:r w:rsidRPr="00D7014C">
        <w:rPr>
          <w:rFonts w:ascii="Times New Roman" w:hAnsi="Times New Roman" w:cs="Times New Roman"/>
          <w:sz w:val="24"/>
          <w:szCs w:val="24"/>
        </w:rPr>
        <w:t xml:space="preserve"> categories, yellow in </w:t>
      </w:r>
      <w:r w:rsidR="00096D2B">
        <w:rPr>
          <w:rFonts w:ascii="Times New Roman" w:hAnsi="Times New Roman" w:cs="Times New Roman"/>
          <w:sz w:val="24"/>
          <w:szCs w:val="24"/>
        </w:rPr>
        <w:t>one</w:t>
      </w:r>
      <w:r w:rsidRPr="00D7014C">
        <w:rPr>
          <w:rFonts w:ascii="Times New Roman" w:hAnsi="Times New Roman" w:cs="Times New Roman"/>
          <w:sz w:val="24"/>
          <w:szCs w:val="24"/>
        </w:rPr>
        <w:t xml:space="preserve">, and red in </w:t>
      </w:r>
      <w:r w:rsidR="00096D2B">
        <w:rPr>
          <w:rFonts w:ascii="Times New Roman" w:hAnsi="Times New Roman" w:cs="Times New Roman"/>
          <w:sz w:val="24"/>
          <w:szCs w:val="24"/>
        </w:rPr>
        <w:t>two</w:t>
      </w:r>
      <w:r w:rsidRPr="00D7014C">
        <w:rPr>
          <w:rFonts w:ascii="Times New Roman" w:hAnsi="Times New Roman" w:cs="Times New Roman"/>
          <w:sz w:val="24"/>
          <w:szCs w:val="24"/>
        </w:rPr>
        <w:t xml:space="preserve"> others.</w:t>
      </w:r>
      <w:r w:rsidR="00096D2B">
        <w:rPr>
          <w:rFonts w:ascii="Times New Roman" w:hAnsi="Times New Roman" w:cs="Times New Roman"/>
          <w:sz w:val="24"/>
          <w:szCs w:val="24"/>
        </w:rPr>
        <w:t xml:space="preserve">  This is significantly better than last year, demonstrating the Departments commitment to sustainability as an opportunity to reduce costs while enhancing our mission. </w:t>
      </w:r>
    </w:p>
    <w:p w:rsidR="00FC7249" w:rsidRPr="00D7014C" w:rsidRDefault="00FC7249" w:rsidP="00FC7249">
      <w:pPr>
        <w:rPr>
          <w:rFonts w:ascii="Times New Roman" w:hAnsi="Times New Roman" w:cs="Times New Roman"/>
          <w:sz w:val="24"/>
          <w:szCs w:val="24"/>
        </w:rPr>
      </w:pPr>
    </w:p>
    <w:p w:rsidR="00FC7249" w:rsidRPr="00D7014C" w:rsidRDefault="00FC7249" w:rsidP="00A31BE4">
      <w:pPr>
        <w:pStyle w:val="PlainText"/>
        <w:rPr>
          <w:rFonts w:ascii="Times New Roman" w:hAnsi="Times New Roman" w:cs="Times New Roman"/>
          <w:i/>
          <w:sz w:val="24"/>
          <w:szCs w:val="24"/>
        </w:rPr>
      </w:pPr>
    </w:p>
    <w:p w:rsidR="00A62DCB" w:rsidRPr="000A7C6D" w:rsidRDefault="00A62DCB" w:rsidP="00A31BE4">
      <w:pPr>
        <w:pStyle w:val="PlainText"/>
        <w:rPr>
          <w:rFonts w:ascii="Times New Roman" w:hAnsi="Times New Roman" w:cs="Times New Roman"/>
          <w:b/>
          <w:i/>
          <w:sz w:val="24"/>
          <w:szCs w:val="24"/>
          <w:u w:val="single"/>
        </w:rPr>
      </w:pPr>
      <w:r>
        <w:rPr>
          <w:rFonts w:ascii="Times New Roman" w:hAnsi="Times New Roman" w:cs="Times New Roman"/>
          <w:b/>
          <w:i/>
          <w:sz w:val="24"/>
          <w:szCs w:val="24"/>
          <w:u w:val="single"/>
        </w:rPr>
        <w:t xml:space="preserve">Some of our </w:t>
      </w:r>
      <w:r w:rsidRPr="000A7C6D">
        <w:rPr>
          <w:rFonts w:ascii="Times New Roman" w:hAnsi="Times New Roman" w:cs="Times New Roman"/>
          <w:b/>
          <w:i/>
          <w:sz w:val="24"/>
          <w:szCs w:val="24"/>
          <w:u w:val="single"/>
        </w:rPr>
        <w:t>successes</w:t>
      </w:r>
    </w:p>
    <w:p w:rsidR="002170C3" w:rsidRDefault="002170C3" w:rsidP="00B67134">
      <w:pPr>
        <w:jc w:val="both"/>
        <w:rPr>
          <w:rFonts w:ascii="Times New Roman" w:hAnsi="Times New Roman"/>
          <w:b/>
          <w:sz w:val="24"/>
          <w:szCs w:val="24"/>
        </w:rPr>
      </w:pPr>
    </w:p>
    <w:p w:rsidR="00A35749" w:rsidRPr="00B67134" w:rsidRDefault="00A35749" w:rsidP="00B67134">
      <w:pPr>
        <w:jc w:val="both"/>
        <w:rPr>
          <w:rFonts w:ascii="Times New Roman" w:hAnsi="Times New Roman"/>
          <w:b/>
          <w:sz w:val="24"/>
          <w:szCs w:val="24"/>
        </w:rPr>
      </w:pPr>
      <w:r w:rsidRPr="00B67134">
        <w:rPr>
          <w:rFonts w:ascii="Times New Roman" w:hAnsi="Times New Roman"/>
          <w:b/>
          <w:sz w:val="24"/>
          <w:szCs w:val="24"/>
        </w:rPr>
        <w:t xml:space="preserve">Reduction in Potable Water </w:t>
      </w:r>
    </w:p>
    <w:p w:rsidR="00FC7249" w:rsidRPr="00D7014C" w:rsidRDefault="00FC7249" w:rsidP="00FC7249">
      <w:pPr>
        <w:ind w:left="324"/>
        <w:rPr>
          <w:rFonts w:ascii="Times New Roman" w:hAnsi="Times New Roman" w:cs="Times New Roman"/>
          <w:sz w:val="24"/>
          <w:szCs w:val="24"/>
        </w:rPr>
      </w:pPr>
      <w:proofErr w:type="gramStart"/>
      <w:r w:rsidRPr="00D7014C">
        <w:rPr>
          <w:rFonts w:ascii="Times New Roman" w:hAnsi="Times New Roman" w:cs="Times New Roman"/>
          <w:sz w:val="24"/>
          <w:szCs w:val="24"/>
        </w:rPr>
        <w:t>DoD</w:t>
      </w:r>
      <w:proofErr w:type="gramEnd"/>
      <w:r w:rsidRPr="00D7014C">
        <w:rPr>
          <w:rFonts w:ascii="Times New Roman" w:hAnsi="Times New Roman" w:cs="Times New Roman"/>
          <w:sz w:val="24"/>
          <w:szCs w:val="24"/>
        </w:rPr>
        <w:t xml:space="preserve"> reduced its potable water intensity (measured as consumption per gross square foot) by </w:t>
      </w:r>
      <w:r w:rsidR="0080187D">
        <w:rPr>
          <w:rFonts w:ascii="Times New Roman" w:hAnsi="Times New Roman" w:cs="Times New Roman"/>
          <w:sz w:val="24"/>
          <w:szCs w:val="24"/>
        </w:rPr>
        <w:t>18.6</w:t>
      </w:r>
      <w:r w:rsidRPr="00D7014C">
        <w:rPr>
          <w:rFonts w:ascii="Times New Roman" w:hAnsi="Times New Roman" w:cs="Times New Roman"/>
          <w:sz w:val="24"/>
          <w:szCs w:val="24"/>
        </w:rPr>
        <w:t xml:space="preserve"> percent from 2007 to 201</w:t>
      </w:r>
      <w:r w:rsidR="0080187D">
        <w:rPr>
          <w:rFonts w:ascii="Times New Roman" w:hAnsi="Times New Roman" w:cs="Times New Roman"/>
          <w:sz w:val="24"/>
          <w:szCs w:val="24"/>
        </w:rPr>
        <w:t>2</w:t>
      </w:r>
      <w:r w:rsidRPr="00D7014C">
        <w:rPr>
          <w:rFonts w:ascii="Times New Roman" w:hAnsi="Times New Roman" w:cs="Times New Roman"/>
          <w:sz w:val="24"/>
          <w:szCs w:val="24"/>
        </w:rPr>
        <w:t xml:space="preserve">—well above the goal. </w:t>
      </w:r>
    </w:p>
    <w:p w:rsidR="00FC7249" w:rsidRPr="00D7014C" w:rsidRDefault="00FC7249" w:rsidP="00FC7249">
      <w:pPr>
        <w:ind w:left="162"/>
        <w:rPr>
          <w:rFonts w:ascii="Times New Roman" w:hAnsi="Times New Roman" w:cs="Times New Roman"/>
          <w:sz w:val="24"/>
          <w:szCs w:val="24"/>
        </w:rPr>
      </w:pPr>
    </w:p>
    <w:p w:rsidR="00A35749" w:rsidRPr="00D7014C" w:rsidRDefault="00A35749" w:rsidP="00B67134">
      <w:pPr>
        <w:rPr>
          <w:rFonts w:ascii="Times New Roman" w:hAnsi="Times New Roman" w:cs="Times New Roman"/>
          <w:b/>
          <w:sz w:val="24"/>
          <w:szCs w:val="24"/>
        </w:rPr>
      </w:pPr>
      <w:r w:rsidRPr="00D7014C">
        <w:rPr>
          <w:rFonts w:ascii="Times New Roman" w:hAnsi="Times New Roman" w:cs="Times New Roman"/>
          <w:b/>
          <w:sz w:val="24"/>
          <w:szCs w:val="24"/>
        </w:rPr>
        <w:t xml:space="preserve">Reduction in Fleet Petroleum Use </w:t>
      </w:r>
    </w:p>
    <w:p w:rsidR="00FC7249" w:rsidRPr="00D7014C" w:rsidRDefault="00FC7249" w:rsidP="00FC7249">
      <w:pPr>
        <w:ind w:left="324"/>
        <w:rPr>
          <w:rFonts w:ascii="Times New Roman" w:hAnsi="Times New Roman" w:cs="Times New Roman"/>
          <w:sz w:val="24"/>
          <w:szCs w:val="24"/>
        </w:rPr>
      </w:pPr>
      <w:proofErr w:type="gramStart"/>
      <w:r w:rsidRPr="00D7014C">
        <w:rPr>
          <w:rFonts w:ascii="Times New Roman" w:hAnsi="Times New Roman" w:cs="Times New Roman"/>
          <w:sz w:val="24"/>
          <w:szCs w:val="24"/>
        </w:rPr>
        <w:t>DoD</w:t>
      </w:r>
      <w:proofErr w:type="gramEnd"/>
      <w:r w:rsidRPr="00D7014C">
        <w:rPr>
          <w:rFonts w:ascii="Times New Roman" w:hAnsi="Times New Roman" w:cs="Times New Roman"/>
          <w:sz w:val="24"/>
          <w:szCs w:val="24"/>
        </w:rPr>
        <w:t xml:space="preserve"> continued to reduce its consumption of petroleum, reaching a cumulative reduction of </w:t>
      </w:r>
      <w:r w:rsidR="0080187D">
        <w:rPr>
          <w:rFonts w:ascii="Times New Roman" w:hAnsi="Times New Roman" w:cs="Times New Roman"/>
          <w:sz w:val="24"/>
          <w:szCs w:val="24"/>
        </w:rPr>
        <w:t>20.7</w:t>
      </w:r>
      <w:r w:rsidRPr="00D7014C">
        <w:rPr>
          <w:rFonts w:ascii="Times New Roman" w:hAnsi="Times New Roman" w:cs="Times New Roman"/>
          <w:sz w:val="24"/>
          <w:szCs w:val="24"/>
        </w:rPr>
        <w:t xml:space="preserve"> percent since 2005.</w:t>
      </w:r>
    </w:p>
    <w:p w:rsidR="00FC7249" w:rsidRDefault="00FC7249" w:rsidP="00A31BE4">
      <w:pPr>
        <w:pStyle w:val="PlainText"/>
        <w:rPr>
          <w:rFonts w:ascii="Times New Roman" w:hAnsi="Times New Roman" w:cs="Times New Roman"/>
          <w:sz w:val="24"/>
          <w:szCs w:val="24"/>
        </w:rPr>
      </w:pPr>
    </w:p>
    <w:p w:rsidR="00DE4DE6" w:rsidRPr="00DE4DE6" w:rsidRDefault="00DE4DE6" w:rsidP="00DE4DE6">
      <w:pPr>
        <w:pStyle w:val="PlainText"/>
        <w:rPr>
          <w:rFonts w:ascii="Times New Roman" w:hAnsi="Times New Roman" w:cs="Times New Roman"/>
          <w:sz w:val="24"/>
          <w:szCs w:val="24"/>
        </w:rPr>
      </w:pPr>
      <w:r w:rsidRPr="002170C3">
        <w:rPr>
          <w:rFonts w:ascii="Times New Roman" w:hAnsi="Times New Roman" w:cs="Times New Roman"/>
          <w:b/>
          <w:sz w:val="24"/>
          <w:szCs w:val="24"/>
        </w:rPr>
        <w:t xml:space="preserve">Scope 1, 2, &amp; 3 GHG Emissions Reductions </w:t>
      </w:r>
    </w:p>
    <w:p w:rsidR="00DE4DE6" w:rsidRPr="00DE4DE6" w:rsidRDefault="00DE4DE6" w:rsidP="00DE4DE6">
      <w:pPr>
        <w:pStyle w:val="PlainText"/>
        <w:rPr>
          <w:rFonts w:ascii="Times New Roman" w:hAnsi="Times New Roman" w:cs="Times New Roman"/>
          <w:sz w:val="24"/>
          <w:szCs w:val="24"/>
        </w:rPr>
      </w:pPr>
      <w:proofErr w:type="spellStart"/>
      <w:proofErr w:type="gramStart"/>
      <w:r w:rsidRPr="00DE4DE6">
        <w:rPr>
          <w:rFonts w:ascii="Times New Roman" w:hAnsi="Times New Roman" w:cs="Times New Roman"/>
          <w:sz w:val="24"/>
          <w:szCs w:val="24"/>
        </w:rPr>
        <w:t>DoD’s</w:t>
      </w:r>
      <w:proofErr w:type="spellEnd"/>
      <w:proofErr w:type="gramEnd"/>
      <w:r w:rsidRPr="00DE4DE6">
        <w:rPr>
          <w:rFonts w:ascii="Times New Roman" w:hAnsi="Times New Roman" w:cs="Times New Roman"/>
          <w:sz w:val="24"/>
          <w:szCs w:val="24"/>
        </w:rPr>
        <w:t xml:space="preserve"> reductions in GHGs are directly tied to our facilities energy strategy.  As we make investments to improve our energy efficiency, replace our energy sources (coal to natural gas), and increase the use of renewable energy, the Department’s Scope 1 and 2 GHG emissions will decline.  It may take a few years for results of these investments to be reflected in GHG Scope 1 &amp; 2 reductions.</w:t>
      </w:r>
    </w:p>
    <w:p w:rsidR="00DE4DE6" w:rsidRPr="00DE4DE6" w:rsidRDefault="00DE4DE6" w:rsidP="00DE4DE6">
      <w:pPr>
        <w:pStyle w:val="PlainText"/>
        <w:rPr>
          <w:rFonts w:ascii="Times New Roman" w:hAnsi="Times New Roman" w:cs="Times New Roman"/>
          <w:sz w:val="24"/>
          <w:szCs w:val="24"/>
        </w:rPr>
      </w:pPr>
    </w:p>
    <w:p w:rsidR="00DE4DE6" w:rsidRPr="00DE4DE6" w:rsidRDefault="00DE4DE6" w:rsidP="00DE4DE6">
      <w:pPr>
        <w:pStyle w:val="PlainText"/>
        <w:rPr>
          <w:rFonts w:ascii="Times New Roman" w:hAnsi="Times New Roman" w:cs="Times New Roman"/>
          <w:sz w:val="24"/>
          <w:szCs w:val="24"/>
        </w:rPr>
      </w:pPr>
      <w:r w:rsidRPr="00DE4DE6">
        <w:rPr>
          <w:rFonts w:ascii="Times New Roman" w:hAnsi="Times New Roman" w:cs="Times New Roman"/>
          <w:sz w:val="24"/>
          <w:szCs w:val="24"/>
        </w:rPr>
        <w:t>DoD GHG Scope 3 emissions reflect improved data collection, capturing more complete employee air travel information in FY 201</w:t>
      </w:r>
      <w:r>
        <w:rPr>
          <w:rFonts w:ascii="Times New Roman" w:hAnsi="Times New Roman" w:cs="Times New Roman"/>
          <w:sz w:val="24"/>
          <w:szCs w:val="24"/>
        </w:rPr>
        <w:t>2</w:t>
      </w:r>
      <w:r w:rsidRPr="00DE4DE6">
        <w:rPr>
          <w:rFonts w:ascii="Times New Roman" w:hAnsi="Times New Roman" w:cs="Times New Roman"/>
          <w:sz w:val="24"/>
          <w:szCs w:val="24"/>
        </w:rPr>
        <w:t xml:space="preserve"> compared to the original FY 2008 baseline estimate.  Use of this new system will accurately reflect future changes in employee air travel.</w:t>
      </w:r>
    </w:p>
    <w:p w:rsidR="00DE4DE6" w:rsidRPr="00D7014C" w:rsidRDefault="00DE4DE6" w:rsidP="00A31BE4">
      <w:pPr>
        <w:pStyle w:val="PlainText"/>
        <w:rPr>
          <w:rFonts w:ascii="Times New Roman" w:hAnsi="Times New Roman" w:cs="Times New Roman"/>
          <w:sz w:val="24"/>
          <w:szCs w:val="24"/>
        </w:rPr>
      </w:pPr>
    </w:p>
    <w:p w:rsidR="00DE4DE6" w:rsidRPr="002170C3" w:rsidRDefault="00DE4DE6" w:rsidP="00DE4DE6">
      <w:pPr>
        <w:pStyle w:val="PlainText"/>
        <w:rPr>
          <w:rFonts w:ascii="Times New Roman" w:hAnsi="Times New Roman" w:cs="Times New Roman"/>
          <w:b/>
          <w:sz w:val="24"/>
          <w:szCs w:val="24"/>
        </w:rPr>
      </w:pPr>
      <w:r w:rsidRPr="002170C3">
        <w:rPr>
          <w:rFonts w:ascii="Times New Roman" w:hAnsi="Times New Roman" w:cs="Times New Roman"/>
          <w:b/>
          <w:sz w:val="24"/>
          <w:szCs w:val="24"/>
        </w:rPr>
        <w:t>Use of Renewable Energy</w:t>
      </w:r>
    </w:p>
    <w:p w:rsidR="00DE4DE6" w:rsidRPr="00DE4DE6" w:rsidRDefault="00DB26A6" w:rsidP="00DE4DE6">
      <w:pPr>
        <w:pStyle w:val="PlainText"/>
        <w:rPr>
          <w:rFonts w:ascii="Times New Roman" w:hAnsi="Times New Roman" w:cs="Times New Roman"/>
          <w:sz w:val="24"/>
          <w:szCs w:val="24"/>
        </w:rPr>
      </w:pPr>
      <w:r w:rsidRPr="00DB26A6">
        <w:rPr>
          <w:rFonts w:ascii="Times New Roman" w:hAnsi="Times New Roman" w:cs="Times New Roman"/>
          <w:sz w:val="24"/>
          <w:szCs w:val="24"/>
        </w:rPr>
        <w:t xml:space="preserve">One of the Department’s main paths to ensure resiliency and mission assurance is through renewable energy.  Of the total amount of electricity consumed by </w:t>
      </w:r>
      <w:proofErr w:type="gramStart"/>
      <w:r w:rsidRPr="00DB26A6">
        <w:rPr>
          <w:rFonts w:ascii="Times New Roman" w:hAnsi="Times New Roman" w:cs="Times New Roman"/>
          <w:sz w:val="24"/>
          <w:szCs w:val="24"/>
        </w:rPr>
        <w:t>DoD</w:t>
      </w:r>
      <w:proofErr w:type="gramEnd"/>
      <w:r w:rsidRPr="00DB26A6">
        <w:rPr>
          <w:rFonts w:ascii="Times New Roman" w:hAnsi="Times New Roman" w:cs="Times New Roman"/>
          <w:sz w:val="24"/>
          <w:szCs w:val="24"/>
        </w:rPr>
        <w:t xml:space="preserve"> facilities in FY 2012, 4.0% was supplied by electric forms of renewable energy.  When non-electric forms are counted as well, the portion of renewable energy produced or procured by the Department rises to 9.6%.  DoD uses the latter definition in tracking its progress on renewable energy, because by FY 2020 DoD is required by Title 10, United States Code §2911(e)(2) to have one-quarter of its energy supplied by renewable energy—of all types—measured as a percentage of electricity consumed by DoD facilities.  The Department’s steady rise in reportable renewable energy has slowed recently due to a </w:t>
      </w:r>
      <w:proofErr w:type="gramStart"/>
      <w:r w:rsidRPr="00DB26A6">
        <w:rPr>
          <w:rFonts w:ascii="Times New Roman" w:hAnsi="Times New Roman" w:cs="Times New Roman"/>
          <w:sz w:val="24"/>
          <w:szCs w:val="24"/>
        </w:rPr>
        <w:t>DoD</w:t>
      </w:r>
      <w:proofErr w:type="gramEnd"/>
      <w:r w:rsidRPr="00DB26A6">
        <w:rPr>
          <w:rFonts w:ascii="Times New Roman" w:hAnsi="Times New Roman" w:cs="Times New Roman"/>
          <w:sz w:val="24"/>
          <w:szCs w:val="24"/>
        </w:rPr>
        <w:t xml:space="preserve"> decision to shift away from </w:t>
      </w:r>
      <w:r w:rsidRPr="000A7C6D">
        <w:rPr>
          <w:rFonts w:ascii="Times New Roman" w:hAnsi="Times New Roman" w:cs="Times New Roman"/>
          <w:i/>
          <w:sz w:val="24"/>
          <w:szCs w:val="24"/>
        </w:rPr>
        <w:t>procuring</w:t>
      </w:r>
      <w:r w:rsidRPr="00DB26A6">
        <w:rPr>
          <w:rFonts w:ascii="Times New Roman" w:hAnsi="Times New Roman" w:cs="Times New Roman"/>
          <w:sz w:val="24"/>
          <w:szCs w:val="24"/>
        </w:rPr>
        <w:t xml:space="preserve"> renewable energy to </w:t>
      </w:r>
      <w:r w:rsidRPr="000A7C6D">
        <w:rPr>
          <w:rFonts w:ascii="Times New Roman" w:hAnsi="Times New Roman" w:cs="Times New Roman"/>
          <w:i/>
          <w:sz w:val="24"/>
          <w:szCs w:val="24"/>
        </w:rPr>
        <w:t xml:space="preserve">installing </w:t>
      </w:r>
      <w:r w:rsidRPr="00DB26A6">
        <w:rPr>
          <w:rFonts w:ascii="Times New Roman" w:hAnsi="Times New Roman" w:cs="Times New Roman"/>
          <w:sz w:val="24"/>
          <w:szCs w:val="24"/>
        </w:rPr>
        <w:t>renewable energy capacity on DoD installations.  Increasing on-site renewable energy is a mission assurance strategy, to make installation missions more resilient to the vulnerabilities of the commercial electric</w:t>
      </w:r>
    </w:p>
    <w:p w:rsidR="001E6D24" w:rsidRDefault="001E6D24" w:rsidP="009503BC">
      <w:pPr>
        <w:pStyle w:val="PlainText"/>
        <w:rPr>
          <w:rFonts w:ascii="Times New Roman" w:hAnsi="Times New Roman" w:cs="Times New Roman"/>
          <w:i/>
          <w:sz w:val="24"/>
          <w:szCs w:val="24"/>
        </w:rPr>
      </w:pPr>
    </w:p>
    <w:p w:rsidR="00813A65" w:rsidRPr="00D7014C" w:rsidRDefault="00813A65" w:rsidP="009503BC">
      <w:pPr>
        <w:pStyle w:val="PlainText"/>
        <w:rPr>
          <w:rFonts w:ascii="Times New Roman" w:hAnsi="Times New Roman" w:cs="Times New Roman"/>
          <w:i/>
          <w:sz w:val="24"/>
          <w:szCs w:val="24"/>
        </w:rPr>
      </w:pPr>
    </w:p>
    <w:p w:rsidR="007A446E" w:rsidRPr="000A7C6D" w:rsidRDefault="00A62DCB" w:rsidP="009503BC">
      <w:pPr>
        <w:pStyle w:val="PlainText"/>
        <w:rPr>
          <w:rFonts w:ascii="Times New Roman" w:hAnsi="Times New Roman" w:cs="Times New Roman"/>
          <w:b/>
          <w:i/>
          <w:sz w:val="24"/>
          <w:szCs w:val="24"/>
          <w:u w:val="single"/>
        </w:rPr>
      </w:pPr>
      <w:r w:rsidRPr="000A7C6D">
        <w:rPr>
          <w:rFonts w:ascii="Times New Roman" w:hAnsi="Times New Roman" w:cs="Times New Roman"/>
          <w:b/>
          <w:i/>
          <w:sz w:val="24"/>
          <w:szCs w:val="24"/>
          <w:u w:val="single"/>
        </w:rPr>
        <w:t>Our Challenges</w:t>
      </w:r>
    </w:p>
    <w:p w:rsidR="007A446E" w:rsidRPr="00D7014C" w:rsidRDefault="007A446E" w:rsidP="009503BC">
      <w:pPr>
        <w:pStyle w:val="PlainText"/>
        <w:rPr>
          <w:rFonts w:ascii="Times New Roman" w:hAnsi="Times New Roman" w:cs="Times New Roman"/>
          <w:sz w:val="24"/>
          <w:szCs w:val="24"/>
        </w:rPr>
      </w:pPr>
    </w:p>
    <w:p w:rsidR="00B67134" w:rsidRDefault="00F5338A" w:rsidP="00F5338A">
      <w:pPr>
        <w:rPr>
          <w:rFonts w:ascii="Times New Roman" w:hAnsi="Times New Roman" w:cs="Times New Roman"/>
          <w:sz w:val="24"/>
          <w:szCs w:val="24"/>
        </w:rPr>
      </w:pPr>
      <w:r w:rsidRPr="002170C3">
        <w:rPr>
          <w:rFonts w:ascii="Times New Roman" w:hAnsi="Times New Roman"/>
          <w:b/>
          <w:sz w:val="24"/>
          <w:szCs w:val="24"/>
        </w:rPr>
        <w:t>Reduction in Energy Intensity</w:t>
      </w:r>
      <w:bookmarkStart w:id="1" w:name="OLE_LINK11"/>
      <w:bookmarkStart w:id="2" w:name="OLE_LINK12"/>
    </w:p>
    <w:p w:rsidR="000A7C6D" w:rsidRPr="00D7014C" w:rsidRDefault="00F5338A" w:rsidP="00F5338A">
      <w:pPr>
        <w:rPr>
          <w:rFonts w:ascii="Times New Roman" w:hAnsi="Times New Roman" w:cs="Times New Roman"/>
          <w:sz w:val="24"/>
          <w:szCs w:val="24"/>
        </w:rPr>
      </w:pPr>
      <w:r w:rsidRPr="00D7014C">
        <w:rPr>
          <w:rFonts w:ascii="Times New Roman" w:hAnsi="Times New Roman" w:cs="Times New Roman"/>
          <w:sz w:val="24"/>
          <w:szCs w:val="24"/>
        </w:rPr>
        <w:t xml:space="preserve">Energy intensity is a function of total facilities energy consumption and total gross square feet of goal subject facility space.  </w:t>
      </w:r>
      <w:r w:rsidR="000A7C6D" w:rsidRPr="000A7C6D">
        <w:rPr>
          <w:rFonts w:ascii="Times New Roman" w:hAnsi="Times New Roman" w:cs="Times New Roman"/>
          <w:sz w:val="24"/>
          <w:szCs w:val="24"/>
        </w:rPr>
        <w:t xml:space="preserve">The Department reduced the energy intensity of its facilities to 96,596 Btu/gross square foot (GSF) in FY 2012, a 17.7% reduction from the FY 2003 baseline.  While falling short of the 21% target, </w:t>
      </w:r>
      <w:proofErr w:type="spellStart"/>
      <w:proofErr w:type="gramStart"/>
      <w:r w:rsidR="000A7C6D" w:rsidRPr="000A7C6D">
        <w:rPr>
          <w:rFonts w:ascii="Times New Roman" w:hAnsi="Times New Roman" w:cs="Times New Roman"/>
          <w:sz w:val="24"/>
          <w:szCs w:val="24"/>
        </w:rPr>
        <w:t>DoD’s</w:t>
      </w:r>
      <w:proofErr w:type="spellEnd"/>
      <w:proofErr w:type="gramEnd"/>
      <w:r w:rsidR="000A7C6D" w:rsidRPr="000A7C6D">
        <w:rPr>
          <w:rFonts w:ascii="Times New Roman" w:hAnsi="Times New Roman" w:cs="Times New Roman"/>
          <w:sz w:val="24"/>
          <w:szCs w:val="24"/>
        </w:rPr>
        <w:t xml:space="preserve"> efficiency improvements have been accelerating:  performance in FY 2011 was 2.3% better than FY 2010, and FY 2012 showed a 4.4% improvement over FY 2011.  </w:t>
      </w:r>
    </w:p>
    <w:bookmarkEnd w:id="1"/>
    <w:bookmarkEnd w:id="2"/>
    <w:p w:rsidR="006354E9" w:rsidRPr="00D7014C" w:rsidRDefault="006354E9" w:rsidP="006354E9">
      <w:pPr>
        <w:pStyle w:val="PlainText"/>
        <w:rPr>
          <w:rFonts w:ascii="Times New Roman" w:hAnsi="Times New Roman" w:cs="Times New Roman"/>
          <w:sz w:val="24"/>
          <w:szCs w:val="24"/>
        </w:rPr>
      </w:pPr>
    </w:p>
    <w:p w:rsidR="00F5338A" w:rsidRPr="002170C3" w:rsidRDefault="00F5338A" w:rsidP="00B67134">
      <w:pPr>
        <w:rPr>
          <w:rFonts w:ascii="Times New Roman" w:hAnsi="Times New Roman" w:cs="Times New Roman"/>
          <w:b/>
          <w:sz w:val="24"/>
          <w:szCs w:val="24"/>
        </w:rPr>
      </w:pPr>
      <w:r w:rsidRPr="002170C3">
        <w:rPr>
          <w:rFonts w:ascii="Times New Roman" w:hAnsi="Times New Roman" w:cs="Times New Roman"/>
          <w:b/>
          <w:sz w:val="24"/>
          <w:szCs w:val="24"/>
        </w:rPr>
        <w:t>Sustainable Green Buildings</w:t>
      </w:r>
    </w:p>
    <w:p w:rsidR="00F5338A" w:rsidRPr="00D7014C" w:rsidRDefault="00A62DCB" w:rsidP="00F5338A">
      <w:pPr>
        <w:rPr>
          <w:rFonts w:ascii="Times New Roman" w:hAnsi="Times New Roman" w:cs="Times New Roman"/>
          <w:sz w:val="24"/>
          <w:szCs w:val="24"/>
        </w:rPr>
      </w:pPr>
      <w:r w:rsidRPr="00A62DCB">
        <w:rPr>
          <w:rFonts w:ascii="Times New Roman" w:hAnsi="Times New Roman" w:cs="Times New Roman"/>
          <w:sz w:val="24"/>
          <w:szCs w:val="24"/>
        </w:rPr>
        <w:t xml:space="preserve">One of the greatest sustainability challenges the Department faces is improving a sizeable portion of its enormous inventory of existing buildings to the point where they meet the criteria of the Guiding Principles of Federal Leadership in High Performance and Sustainable Buildings.  Out of 51,953 applicable owned and leased buildings, </w:t>
      </w:r>
      <w:r>
        <w:rPr>
          <w:rFonts w:ascii="Times New Roman" w:hAnsi="Times New Roman" w:cs="Times New Roman"/>
          <w:sz w:val="24"/>
          <w:szCs w:val="24"/>
        </w:rPr>
        <w:t xml:space="preserve">only </w:t>
      </w:r>
      <w:r w:rsidRPr="00A62DCB">
        <w:rPr>
          <w:rFonts w:ascii="Times New Roman" w:hAnsi="Times New Roman" w:cs="Times New Roman"/>
          <w:sz w:val="24"/>
          <w:szCs w:val="24"/>
        </w:rPr>
        <w:t xml:space="preserve">316 of them met the Guiding Principles criteria in FY 2012.  However, </w:t>
      </w:r>
      <w:proofErr w:type="gramStart"/>
      <w:r w:rsidRPr="00A62DCB">
        <w:rPr>
          <w:rFonts w:ascii="Times New Roman" w:hAnsi="Times New Roman" w:cs="Times New Roman"/>
          <w:sz w:val="24"/>
          <w:szCs w:val="24"/>
        </w:rPr>
        <w:t>DoD</w:t>
      </w:r>
      <w:proofErr w:type="gramEnd"/>
      <w:r w:rsidRPr="00A62DCB">
        <w:rPr>
          <w:rFonts w:ascii="Times New Roman" w:hAnsi="Times New Roman" w:cs="Times New Roman"/>
          <w:sz w:val="24"/>
          <w:szCs w:val="24"/>
        </w:rPr>
        <w:t xml:space="preserve"> has been developing and issuing a number of seminal policy and guidance documents to accelerate the Department’s progress in improving its buildings.  In May 2012, </w:t>
      </w:r>
      <w:proofErr w:type="gramStart"/>
      <w:r w:rsidRPr="00A62DCB">
        <w:rPr>
          <w:rFonts w:ascii="Times New Roman" w:hAnsi="Times New Roman" w:cs="Times New Roman"/>
          <w:sz w:val="24"/>
          <w:szCs w:val="24"/>
        </w:rPr>
        <w:t>DoD</w:t>
      </w:r>
      <w:proofErr w:type="gramEnd"/>
      <w:r w:rsidRPr="00A62DCB">
        <w:rPr>
          <w:rFonts w:ascii="Times New Roman" w:hAnsi="Times New Roman" w:cs="Times New Roman"/>
          <w:sz w:val="24"/>
          <w:szCs w:val="24"/>
        </w:rPr>
        <w:t xml:space="preserve"> issued Unified Facilities Criteria (UFC) 2-100-01, Installation Master Planning, which provides direction and guidance on the sustainable planning and siting of </w:t>
      </w:r>
      <w:r w:rsidRPr="00A62DCB">
        <w:rPr>
          <w:rFonts w:ascii="Times New Roman" w:hAnsi="Times New Roman" w:cs="Times New Roman"/>
          <w:sz w:val="24"/>
          <w:szCs w:val="24"/>
        </w:rPr>
        <w:lastRenderedPageBreak/>
        <w:t xml:space="preserve">military facilities.  In March 2013, the Department issued more strict building standards in the form of </w:t>
      </w:r>
      <w:proofErr w:type="gramStart"/>
      <w:r w:rsidRPr="00A62DCB">
        <w:rPr>
          <w:rFonts w:ascii="Times New Roman" w:hAnsi="Times New Roman" w:cs="Times New Roman"/>
          <w:sz w:val="24"/>
          <w:szCs w:val="24"/>
        </w:rPr>
        <w:t>DoD</w:t>
      </w:r>
      <w:proofErr w:type="gramEnd"/>
      <w:r w:rsidRPr="00A62DCB">
        <w:rPr>
          <w:rFonts w:ascii="Times New Roman" w:hAnsi="Times New Roman" w:cs="Times New Roman"/>
          <w:sz w:val="24"/>
          <w:szCs w:val="24"/>
        </w:rPr>
        <w:t xml:space="preserve"> UFC 1-200-0, High Performance and Sustainable Building Requirements.  This latest UFC provides military construction project managers—for both new construction and major renovation—with a contract-enforceable standard that complies with all federal sustainability mandates, including the Guiding Principles</w:t>
      </w:r>
    </w:p>
    <w:p w:rsidR="00A62DCB" w:rsidRDefault="00A62DCB" w:rsidP="00B67134">
      <w:pPr>
        <w:pStyle w:val="PlainText"/>
        <w:rPr>
          <w:rFonts w:ascii="Times New Roman" w:hAnsi="Times New Roman" w:cs="Times New Roman"/>
          <w:sz w:val="24"/>
          <w:szCs w:val="24"/>
        </w:rPr>
      </w:pPr>
    </w:p>
    <w:p w:rsidR="001E6D24" w:rsidRPr="00D7014C" w:rsidRDefault="001E6D24">
      <w:pPr>
        <w:rPr>
          <w:rFonts w:ascii="Times New Roman" w:hAnsi="Times New Roman" w:cs="Times New Roman"/>
          <w:i/>
          <w:sz w:val="24"/>
          <w:szCs w:val="24"/>
        </w:rPr>
      </w:pPr>
    </w:p>
    <w:sectPr w:rsidR="001E6D24" w:rsidRPr="00D7014C" w:rsidSect="00A04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5D33"/>
    <w:multiLevelType w:val="hybridMultilevel"/>
    <w:tmpl w:val="3DD80A00"/>
    <w:lvl w:ilvl="0" w:tplc="04090001">
      <w:start w:val="1"/>
      <w:numFmt w:val="bullet"/>
      <w:lvlText w:val=""/>
      <w:lvlJc w:val="left"/>
      <w:pPr>
        <w:ind w:left="522" w:hanging="360"/>
      </w:pPr>
      <w:rPr>
        <w:rFonts w:ascii="Symbol" w:hAnsi="Symbol" w:hint="default"/>
      </w:rPr>
    </w:lvl>
    <w:lvl w:ilvl="1" w:tplc="04090003">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
    <w:nsid w:val="0B4D4B8A"/>
    <w:multiLevelType w:val="hybridMultilevel"/>
    <w:tmpl w:val="85F48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22631"/>
    <w:multiLevelType w:val="hybridMultilevel"/>
    <w:tmpl w:val="A4E0A4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26B07"/>
    <w:multiLevelType w:val="hybridMultilevel"/>
    <w:tmpl w:val="62A4B2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F3ED1"/>
    <w:multiLevelType w:val="hybridMultilevel"/>
    <w:tmpl w:val="04E07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E5EBD"/>
    <w:multiLevelType w:val="hybridMultilevel"/>
    <w:tmpl w:val="825EF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232985"/>
    <w:multiLevelType w:val="hybridMultilevel"/>
    <w:tmpl w:val="39501E50"/>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7">
    <w:nsid w:val="7BAD6FF1"/>
    <w:multiLevelType w:val="singleLevel"/>
    <w:tmpl w:val="DD78DCAE"/>
    <w:lvl w:ilvl="0">
      <w:start w:val="1"/>
      <w:numFmt w:val="bullet"/>
      <w:lvlText w:val=""/>
      <w:lvlJc w:val="left"/>
      <w:pPr>
        <w:tabs>
          <w:tab w:val="num" w:pos="360"/>
        </w:tabs>
        <w:ind w:left="144" w:hanging="144"/>
      </w:pPr>
      <w:rPr>
        <w:rFonts w:ascii="Symbol" w:hAnsi="Symbol" w:hint="default"/>
        <w:sz w:val="20"/>
      </w:rPr>
    </w:lvl>
  </w:abstractNum>
  <w:abstractNum w:abstractNumId="8">
    <w:nsid w:val="7E973C6E"/>
    <w:multiLevelType w:val="hybridMultilevel"/>
    <w:tmpl w:val="F37220CE"/>
    <w:lvl w:ilvl="0" w:tplc="3BF0D2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BC"/>
    <w:rsid w:val="0002652E"/>
    <w:rsid w:val="00070C04"/>
    <w:rsid w:val="00096519"/>
    <w:rsid w:val="00096D2B"/>
    <w:rsid w:val="000A7C6D"/>
    <w:rsid w:val="000E1939"/>
    <w:rsid w:val="00140030"/>
    <w:rsid w:val="001C1429"/>
    <w:rsid w:val="001D6B56"/>
    <w:rsid w:val="001E6D24"/>
    <w:rsid w:val="002170C3"/>
    <w:rsid w:val="002A763C"/>
    <w:rsid w:val="002D0759"/>
    <w:rsid w:val="002E7AD5"/>
    <w:rsid w:val="00300655"/>
    <w:rsid w:val="003A4C81"/>
    <w:rsid w:val="003F7964"/>
    <w:rsid w:val="004E6A92"/>
    <w:rsid w:val="00531487"/>
    <w:rsid w:val="005810AF"/>
    <w:rsid w:val="005B64A6"/>
    <w:rsid w:val="005F2436"/>
    <w:rsid w:val="006261A3"/>
    <w:rsid w:val="006354E9"/>
    <w:rsid w:val="0066392A"/>
    <w:rsid w:val="00663E22"/>
    <w:rsid w:val="00696ED8"/>
    <w:rsid w:val="006C03D6"/>
    <w:rsid w:val="006C5CBE"/>
    <w:rsid w:val="00712194"/>
    <w:rsid w:val="007448B7"/>
    <w:rsid w:val="00761522"/>
    <w:rsid w:val="007A446E"/>
    <w:rsid w:val="0080187D"/>
    <w:rsid w:val="00813A65"/>
    <w:rsid w:val="00837BDC"/>
    <w:rsid w:val="008535EB"/>
    <w:rsid w:val="008660AB"/>
    <w:rsid w:val="008D3D9D"/>
    <w:rsid w:val="008D7626"/>
    <w:rsid w:val="009276CA"/>
    <w:rsid w:val="009470EB"/>
    <w:rsid w:val="009503BC"/>
    <w:rsid w:val="009A2FF7"/>
    <w:rsid w:val="009D68A2"/>
    <w:rsid w:val="009E00AD"/>
    <w:rsid w:val="00A040BD"/>
    <w:rsid w:val="00A31BE4"/>
    <w:rsid w:val="00A35749"/>
    <w:rsid w:val="00A62DCB"/>
    <w:rsid w:val="00B2647C"/>
    <w:rsid w:val="00B67134"/>
    <w:rsid w:val="00B85A9E"/>
    <w:rsid w:val="00BD07F3"/>
    <w:rsid w:val="00BD0A3F"/>
    <w:rsid w:val="00C61D55"/>
    <w:rsid w:val="00CE0995"/>
    <w:rsid w:val="00D14253"/>
    <w:rsid w:val="00D7014C"/>
    <w:rsid w:val="00DB26A6"/>
    <w:rsid w:val="00DE4DE6"/>
    <w:rsid w:val="00E43B84"/>
    <w:rsid w:val="00E564E1"/>
    <w:rsid w:val="00E66C01"/>
    <w:rsid w:val="00EC2F44"/>
    <w:rsid w:val="00F108F3"/>
    <w:rsid w:val="00F112F7"/>
    <w:rsid w:val="00F5338A"/>
    <w:rsid w:val="00FC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03BC"/>
    <w:rPr>
      <w:rFonts w:ascii="Consolas" w:hAnsi="Consolas"/>
      <w:sz w:val="21"/>
      <w:szCs w:val="21"/>
    </w:rPr>
  </w:style>
  <w:style w:type="character" w:customStyle="1" w:styleId="PlainTextChar">
    <w:name w:val="Plain Text Char"/>
    <w:basedOn w:val="DefaultParagraphFont"/>
    <w:link w:val="PlainText"/>
    <w:uiPriority w:val="99"/>
    <w:rsid w:val="009503BC"/>
    <w:rPr>
      <w:rFonts w:ascii="Consolas" w:hAnsi="Consolas"/>
      <w:sz w:val="21"/>
      <w:szCs w:val="21"/>
    </w:rPr>
  </w:style>
  <w:style w:type="paragraph" w:styleId="ListParagraph">
    <w:name w:val="List Paragraph"/>
    <w:basedOn w:val="Normal"/>
    <w:uiPriority w:val="34"/>
    <w:qFormat/>
    <w:rsid w:val="006354E9"/>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96ED8"/>
    <w:rPr>
      <w:rFonts w:ascii="Tahoma" w:hAnsi="Tahoma" w:cs="Tahoma"/>
      <w:sz w:val="16"/>
      <w:szCs w:val="16"/>
    </w:rPr>
  </w:style>
  <w:style w:type="character" w:customStyle="1" w:styleId="BalloonTextChar">
    <w:name w:val="Balloon Text Char"/>
    <w:basedOn w:val="DefaultParagraphFont"/>
    <w:link w:val="BalloonText"/>
    <w:uiPriority w:val="99"/>
    <w:semiHidden/>
    <w:rsid w:val="00696ED8"/>
    <w:rPr>
      <w:rFonts w:ascii="Tahoma" w:hAnsi="Tahoma" w:cs="Tahoma"/>
      <w:sz w:val="16"/>
      <w:szCs w:val="16"/>
    </w:rPr>
  </w:style>
  <w:style w:type="character" w:styleId="Hyperlink">
    <w:name w:val="Hyperlink"/>
    <w:basedOn w:val="DefaultParagraphFont"/>
    <w:uiPriority w:val="99"/>
    <w:unhideWhenUsed/>
    <w:rsid w:val="003F7964"/>
    <w:rPr>
      <w:color w:val="0000FF" w:themeColor="hyperlink"/>
      <w:u w:val="single"/>
    </w:rPr>
  </w:style>
  <w:style w:type="character" w:styleId="CommentReference">
    <w:name w:val="annotation reference"/>
    <w:basedOn w:val="DefaultParagraphFont"/>
    <w:uiPriority w:val="99"/>
    <w:semiHidden/>
    <w:unhideWhenUsed/>
    <w:rsid w:val="005B64A6"/>
    <w:rPr>
      <w:sz w:val="16"/>
      <w:szCs w:val="16"/>
    </w:rPr>
  </w:style>
  <w:style w:type="paragraph" w:styleId="CommentText">
    <w:name w:val="annotation text"/>
    <w:basedOn w:val="Normal"/>
    <w:link w:val="CommentTextChar"/>
    <w:uiPriority w:val="99"/>
    <w:semiHidden/>
    <w:unhideWhenUsed/>
    <w:rsid w:val="005B64A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B64A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503BC"/>
    <w:rPr>
      <w:rFonts w:ascii="Consolas" w:hAnsi="Consolas"/>
      <w:sz w:val="21"/>
      <w:szCs w:val="21"/>
    </w:rPr>
  </w:style>
  <w:style w:type="character" w:customStyle="1" w:styleId="PlainTextChar">
    <w:name w:val="Plain Text Char"/>
    <w:basedOn w:val="DefaultParagraphFont"/>
    <w:link w:val="PlainText"/>
    <w:uiPriority w:val="99"/>
    <w:rsid w:val="009503BC"/>
    <w:rPr>
      <w:rFonts w:ascii="Consolas" w:hAnsi="Consolas"/>
      <w:sz w:val="21"/>
      <w:szCs w:val="21"/>
    </w:rPr>
  </w:style>
  <w:style w:type="paragraph" w:styleId="ListParagraph">
    <w:name w:val="List Paragraph"/>
    <w:basedOn w:val="Normal"/>
    <w:uiPriority w:val="34"/>
    <w:qFormat/>
    <w:rsid w:val="006354E9"/>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96ED8"/>
    <w:rPr>
      <w:rFonts w:ascii="Tahoma" w:hAnsi="Tahoma" w:cs="Tahoma"/>
      <w:sz w:val="16"/>
      <w:szCs w:val="16"/>
    </w:rPr>
  </w:style>
  <w:style w:type="character" w:customStyle="1" w:styleId="BalloonTextChar">
    <w:name w:val="Balloon Text Char"/>
    <w:basedOn w:val="DefaultParagraphFont"/>
    <w:link w:val="BalloonText"/>
    <w:uiPriority w:val="99"/>
    <w:semiHidden/>
    <w:rsid w:val="00696ED8"/>
    <w:rPr>
      <w:rFonts w:ascii="Tahoma" w:hAnsi="Tahoma" w:cs="Tahoma"/>
      <w:sz w:val="16"/>
      <w:szCs w:val="16"/>
    </w:rPr>
  </w:style>
  <w:style w:type="character" w:styleId="Hyperlink">
    <w:name w:val="Hyperlink"/>
    <w:basedOn w:val="DefaultParagraphFont"/>
    <w:uiPriority w:val="99"/>
    <w:unhideWhenUsed/>
    <w:rsid w:val="003F7964"/>
    <w:rPr>
      <w:color w:val="0000FF" w:themeColor="hyperlink"/>
      <w:u w:val="single"/>
    </w:rPr>
  </w:style>
  <w:style w:type="character" w:styleId="CommentReference">
    <w:name w:val="annotation reference"/>
    <w:basedOn w:val="DefaultParagraphFont"/>
    <w:uiPriority w:val="99"/>
    <w:semiHidden/>
    <w:unhideWhenUsed/>
    <w:rsid w:val="005B64A6"/>
    <w:rPr>
      <w:sz w:val="16"/>
      <w:szCs w:val="16"/>
    </w:rPr>
  </w:style>
  <w:style w:type="paragraph" w:styleId="CommentText">
    <w:name w:val="annotation text"/>
    <w:basedOn w:val="Normal"/>
    <w:link w:val="CommentTextChar"/>
    <w:uiPriority w:val="99"/>
    <w:semiHidden/>
    <w:unhideWhenUsed/>
    <w:rsid w:val="005B64A6"/>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B64A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2357">
      <w:bodyDiv w:val="1"/>
      <w:marLeft w:val="0"/>
      <w:marRight w:val="0"/>
      <w:marTop w:val="0"/>
      <w:marBottom w:val="0"/>
      <w:divBdr>
        <w:top w:val="none" w:sz="0" w:space="0" w:color="auto"/>
        <w:left w:val="none" w:sz="0" w:space="0" w:color="auto"/>
        <w:bottom w:val="none" w:sz="0" w:space="0" w:color="auto"/>
        <w:right w:val="none" w:sz="0" w:space="0" w:color="auto"/>
      </w:divBdr>
    </w:div>
    <w:div w:id="815295535">
      <w:bodyDiv w:val="1"/>
      <w:marLeft w:val="0"/>
      <w:marRight w:val="0"/>
      <w:marTop w:val="0"/>
      <w:marBottom w:val="0"/>
      <w:divBdr>
        <w:top w:val="none" w:sz="0" w:space="0" w:color="auto"/>
        <w:left w:val="none" w:sz="0" w:space="0" w:color="auto"/>
        <w:bottom w:val="none" w:sz="0" w:space="0" w:color="auto"/>
        <w:right w:val="none" w:sz="0" w:space="0" w:color="auto"/>
      </w:divBdr>
    </w:div>
    <w:div w:id="895894202">
      <w:bodyDiv w:val="1"/>
      <w:marLeft w:val="0"/>
      <w:marRight w:val="0"/>
      <w:marTop w:val="0"/>
      <w:marBottom w:val="0"/>
      <w:divBdr>
        <w:top w:val="none" w:sz="0" w:space="0" w:color="auto"/>
        <w:left w:val="none" w:sz="0" w:space="0" w:color="auto"/>
        <w:bottom w:val="none" w:sz="0" w:space="0" w:color="auto"/>
        <w:right w:val="none" w:sz="0" w:space="0" w:color="auto"/>
      </w:divBdr>
    </w:div>
    <w:div w:id="1545020808">
      <w:bodyDiv w:val="1"/>
      <w:marLeft w:val="0"/>
      <w:marRight w:val="0"/>
      <w:marTop w:val="0"/>
      <w:marBottom w:val="0"/>
      <w:divBdr>
        <w:top w:val="none" w:sz="0" w:space="0" w:color="auto"/>
        <w:left w:val="none" w:sz="0" w:space="0" w:color="auto"/>
        <w:bottom w:val="none" w:sz="0" w:space="0" w:color="auto"/>
        <w:right w:val="none" w:sz="0" w:space="0" w:color="auto"/>
      </w:divBdr>
    </w:div>
    <w:div w:id="1726023151">
      <w:bodyDiv w:val="1"/>
      <w:marLeft w:val="0"/>
      <w:marRight w:val="0"/>
      <w:marTop w:val="0"/>
      <w:marBottom w:val="0"/>
      <w:divBdr>
        <w:top w:val="none" w:sz="0" w:space="0" w:color="auto"/>
        <w:left w:val="none" w:sz="0" w:space="0" w:color="auto"/>
        <w:bottom w:val="none" w:sz="0" w:space="0" w:color="auto"/>
        <w:right w:val="none" w:sz="0" w:space="0" w:color="auto"/>
      </w:divBdr>
    </w:div>
    <w:div w:id="1841968841">
      <w:bodyDiv w:val="1"/>
      <w:marLeft w:val="0"/>
      <w:marRight w:val="0"/>
      <w:marTop w:val="0"/>
      <w:marBottom w:val="0"/>
      <w:divBdr>
        <w:top w:val="none" w:sz="0" w:space="0" w:color="auto"/>
        <w:left w:val="none" w:sz="0" w:space="0" w:color="auto"/>
        <w:bottom w:val="none" w:sz="0" w:space="0" w:color="auto"/>
        <w:right w:val="none" w:sz="0" w:space="0" w:color="auto"/>
      </w:divBdr>
    </w:div>
    <w:div w:id="20043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nix.osd.mil/sustain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ix.osd.mi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OSD-CIO</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fauncejb</dc:creator>
  <cp:lastModifiedBy>Jillian Parker</cp:lastModifiedBy>
  <cp:revision>2</cp:revision>
  <cp:lastPrinted>2011-04-14T18:33:00Z</cp:lastPrinted>
  <dcterms:created xsi:type="dcterms:W3CDTF">2013-05-31T11:49:00Z</dcterms:created>
  <dcterms:modified xsi:type="dcterms:W3CDTF">2013-05-31T11:49:00Z</dcterms:modified>
</cp:coreProperties>
</file>